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C36C50">
        <w:rPr>
          <w:rFonts w:ascii="Sylfaen" w:hAnsi="Sylfaen"/>
          <w:color w:val="FF0000"/>
          <w:sz w:val="14"/>
          <w:szCs w:val="14"/>
        </w:rPr>
        <w:t xml:space="preserve">] 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017</w:t>
      </w:r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C36C50" w:rsidTr="000C7A4D">
        <w:trPr>
          <w:trHeight w:val="60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44173D" w:rsidRPr="00C36C50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44173D" w:rsidRPr="00C36C50" w:rsidRDefault="00A65847" w:rsidP="002A24A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2" w:name="OLE_LINK5"/>
            <w:bookmarkStart w:id="3" w:name="OLE_LINK6"/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2"/>
            <w:bookmarkEnd w:id="3"/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2B63E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139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5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0C7A4D">
        <w:trPr>
          <w:trHeight w:val="61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Default="00D7771C" w:rsidP="00D872A5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B97C05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="00D7771C"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3E03A9" w:rsidRDefault="00EC404B" w:rsidP="003E03A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3E03A9" w:rsidRPr="003E03A9" w:rsidRDefault="003E03A9" w:rsidP="003E03A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3E03A9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3E03A9">
        <w:rPr>
          <w:rFonts w:ascii="Sylfaen" w:hAnsi="Sylfaen" w:cs="Sylfaen"/>
          <w:sz w:val="14"/>
          <w:szCs w:val="14"/>
          <w:lang w:val="ka-GE"/>
        </w:rPr>
        <w:t xml:space="preserve">აღწერა და მისი შესრულების პირობები, აგრეთვე </w:t>
      </w:r>
      <w:r w:rsidRPr="003E03A9">
        <w:rPr>
          <w:rFonts w:ascii="Sylfaen" w:hAnsi="Sylfaen" w:cs="Sylfaen"/>
          <w:b/>
          <w:sz w:val="14"/>
          <w:szCs w:val="14"/>
          <w:lang w:val="ka-GE"/>
        </w:rPr>
        <w:t>მომსახურების საფასურის</w:t>
      </w:r>
      <w:r w:rsidRPr="003E03A9">
        <w:rPr>
          <w:rFonts w:ascii="Sylfaen" w:hAnsi="Sylfaen" w:cs="Sylfaen"/>
          <w:sz w:val="14"/>
          <w:szCs w:val="14"/>
          <w:lang w:val="ka-GE"/>
        </w:rPr>
        <w:t xml:space="preserve"> ოდენობა და მისი გადახდის პირობები განსაზღვრულია </w:t>
      </w:r>
      <w:r w:rsidRPr="003E03A9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 N 1-ით ;</w:t>
      </w:r>
    </w:p>
    <w:p w:rsidR="009347C8" w:rsidRPr="009347C8" w:rsidRDefault="009347C8" w:rsidP="003E03A9">
      <w:pPr>
        <w:ind w:left="720"/>
        <w:jc w:val="both"/>
        <w:rPr>
          <w:rFonts w:ascii="Sylfaen" w:hAnsi="Sylfaen" w:cs="Sylfaen"/>
          <w:sz w:val="14"/>
          <w:szCs w:val="14"/>
          <w:lang w:val="en-US"/>
        </w:rPr>
      </w:pP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lastRenderedPageBreak/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lastRenderedPageBreak/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p w:rsidR="008E666D" w:rsidRPr="00F53B27" w:rsidRDefault="008E666D" w:rsidP="008E666D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E666D" w:rsidRPr="005E0679" w:rsidRDefault="008E666D" w:rsidP="008E666D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>
        <w:rPr>
          <w:rFonts w:ascii="Sylfaen" w:hAnsi="Sylfaen" w:cs="Sylfaen"/>
          <w:b/>
          <w:noProof/>
          <w:sz w:val="16"/>
          <w:szCs w:val="16"/>
          <w:lang w:val="ka-GE"/>
        </w:rPr>
        <w:t>მომსახურების ხელშეკრულების  დანართი</w:t>
      </w:r>
      <w:r w:rsidRPr="005E0679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Pr="00691500">
        <w:rPr>
          <w:rFonts w:ascii="Sylfaen" w:hAnsi="Sylfaen" w:cs="Sylfaen"/>
          <w:b/>
          <w:sz w:val="16"/>
          <w:szCs w:val="16"/>
        </w:rPr>
        <w:t>N</w:t>
      </w:r>
      <w:r>
        <w:rPr>
          <w:rFonts w:ascii="Sylfaen" w:hAnsi="Sylfaen" w:cs="LitNusx"/>
          <w:b/>
          <w:noProof/>
          <w:sz w:val="16"/>
          <w:szCs w:val="16"/>
          <w:lang w:val="ka-GE"/>
        </w:rPr>
        <w:t xml:space="preserve"> 1 </w:t>
      </w:r>
    </w:p>
    <w:p w:rsidR="008E666D" w:rsidRPr="005E0679" w:rsidRDefault="008E666D" w:rsidP="008E666D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8E666D" w:rsidRPr="005E0679" w:rsidRDefault="008E666D" w:rsidP="008E666D">
      <w:pPr>
        <w:ind w:left="720" w:hanging="720"/>
        <w:jc w:val="center"/>
        <w:rPr>
          <w:rFonts w:ascii="Sylfaen" w:hAnsi="Sylfaen"/>
          <w:noProof/>
          <w:sz w:val="14"/>
          <w:szCs w:val="14"/>
          <w:lang w:val="ka-GE"/>
        </w:rPr>
      </w:pP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5E0679">
        <w:rPr>
          <w:rFonts w:ascii="Sylfaen" w:hAnsi="Sylfaen" w:cs="Sylfaen"/>
          <w:noProof/>
          <w:sz w:val="14"/>
          <w:szCs w:val="14"/>
          <w:lang w:val="ka-GE"/>
        </w:rPr>
        <w:t>ქ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დასახელება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                      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                                       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             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რიცხვი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 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თვე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20</w:t>
      </w:r>
      <w:r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18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 w:cs="Sylfaen"/>
          <w:noProof/>
          <w:sz w:val="14"/>
          <w:szCs w:val="14"/>
          <w:lang w:val="ka-GE"/>
        </w:rPr>
        <w:t>წელი</w:t>
      </w:r>
    </w:p>
    <w:p w:rsidR="008E666D" w:rsidRDefault="008E666D" w:rsidP="008E666D">
      <w:pPr>
        <w:jc w:val="center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940"/>
      </w:tblGrid>
      <w:tr w:rsidR="008E666D" w:rsidRPr="009E4E51" w:rsidTr="00572EEB">
        <w:trPr>
          <w:trHeight w:val="123"/>
        </w:trPr>
        <w:tc>
          <w:tcPr>
            <w:tcW w:w="4860" w:type="dxa"/>
            <w:vAlign w:val="center"/>
          </w:tcPr>
          <w:p w:rsidR="008E666D" w:rsidRPr="009E4E51" w:rsidRDefault="008E666D" w:rsidP="00572EEB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F35A17">
              <w:rPr>
                <w:rFonts w:ascii="Sylfaen" w:hAnsi="Sylfaen" w:cs="Sylfaen"/>
                <w:b/>
                <w:sz w:val="14"/>
                <w:szCs w:val="14"/>
              </w:rPr>
              <w:t xml:space="preserve">მომსახურების </w:t>
            </w:r>
            <w:r w:rsidRPr="009E4E51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9E4E51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8E666D" w:rsidRPr="009E4E51" w:rsidRDefault="008E666D" w:rsidP="00572EEB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8E666D" w:rsidRPr="009E4E51" w:rsidTr="00572EEB">
        <w:trPr>
          <w:trHeight w:val="60"/>
        </w:trPr>
        <w:tc>
          <w:tcPr>
            <w:tcW w:w="4860" w:type="dxa"/>
          </w:tcPr>
          <w:p w:rsidR="008E666D" w:rsidRPr="009E4E51" w:rsidRDefault="008E666D" w:rsidP="00572EEB">
            <w:pPr>
              <w:rPr>
                <w:rFonts w:ascii="Sylfaen" w:hAnsi="Sylfaen"/>
                <w:sz w:val="14"/>
                <w:szCs w:val="14"/>
              </w:rPr>
            </w:pPr>
            <w:r w:rsidRPr="009E4E51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9E4E51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8E666D" w:rsidRPr="009E4E51" w:rsidRDefault="008E666D" w:rsidP="00572EEB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47262A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8E666D" w:rsidRPr="009E4E51" w:rsidTr="00572EEB">
        <w:trPr>
          <w:trHeight w:val="60"/>
        </w:trPr>
        <w:tc>
          <w:tcPr>
            <w:tcW w:w="4860" w:type="dxa"/>
          </w:tcPr>
          <w:p w:rsidR="008E666D" w:rsidRPr="009E4E51" w:rsidRDefault="008E666D" w:rsidP="00572EEB">
            <w:pPr>
              <w:rPr>
                <w:rFonts w:ascii="Sylfaen" w:hAnsi="Sylfaen"/>
                <w:sz w:val="14"/>
                <w:szCs w:val="14"/>
              </w:rPr>
            </w:pPr>
            <w:r w:rsidRPr="009E4E51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9E4E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E4E51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9E4E51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8E666D" w:rsidRPr="009E4E51" w:rsidRDefault="008E666D" w:rsidP="00572EEB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47262A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8E666D" w:rsidRPr="005E0679" w:rsidRDefault="008E666D" w:rsidP="008E666D">
      <w:pPr>
        <w:jc w:val="center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8E666D" w:rsidRPr="005E0679" w:rsidTr="00572EEB">
        <w:trPr>
          <w:trHeight w:val="60"/>
        </w:trPr>
        <w:tc>
          <w:tcPr>
            <w:tcW w:w="360" w:type="dxa"/>
          </w:tcPr>
          <w:p w:rsidR="008E666D" w:rsidRPr="005E0679" w:rsidRDefault="008E666D" w:rsidP="008E666D">
            <w:pPr>
              <w:numPr>
                <w:ilvl w:val="0"/>
                <w:numId w:val="47"/>
              </w:num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5E0679" w:rsidRDefault="008E666D" w:rsidP="00572EEB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1649F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5940" w:type="dxa"/>
          </w:tcPr>
          <w:p w:rsidR="008E666D" w:rsidRPr="005E0679" w:rsidRDefault="008E666D" w:rsidP="00572EEB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60"/>
        </w:trPr>
        <w:tc>
          <w:tcPr>
            <w:tcW w:w="360" w:type="dxa"/>
          </w:tcPr>
          <w:p w:rsidR="008E666D" w:rsidRPr="005E0679" w:rsidRDefault="008E666D" w:rsidP="00572EEB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Default="008E666D" w:rsidP="00572EEB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5E0679" w:rsidRDefault="008E666D" w:rsidP="00572EEB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190242" w:rsidRDefault="008E666D" w:rsidP="00572EE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940" w:type="dxa"/>
          </w:tcPr>
          <w:p w:rsidR="008E666D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615FD3" w:rsidRDefault="008E666D" w:rsidP="00572EEB">
            <w:pP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190242" w:rsidRDefault="008E666D" w:rsidP="00572EEB">
            <w:pP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 და პირობები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615FD3" w:rsidRDefault="008E666D" w:rsidP="00572EEB">
            <w:pP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190242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940" w:type="dxa"/>
          </w:tcPr>
          <w:p w:rsidR="008E666D" w:rsidRPr="006B30D2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D142B7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190242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კლიენტის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შეტყობინებაში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მითითებული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ხარვეზის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მიმწოდებლის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მიერ აღმოფხვრის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ვადა: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5E0679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207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A64670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9E4E51" w:rsidTr="00572EEB">
        <w:trPr>
          <w:trHeight w:val="374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9E4E51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:rsidR="008E666D" w:rsidRPr="009E4E51" w:rsidRDefault="008E666D" w:rsidP="00572EEB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9E4E51" w:rsidTr="00572EEB">
        <w:trPr>
          <w:trHeight w:val="455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9E4E51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9E4E51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940" w:type="dxa"/>
          </w:tcPr>
          <w:p w:rsidR="008E666D" w:rsidRPr="009E4E51" w:rsidRDefault="008E666D" w:rsidP="00572EEB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</w:p>
        </w:tc>
      </w:tr>
      <w:tr w:rsidR="008E666D" w:rsidRPr="005E0679" w:rsidTr="00572EEB">
        <w:trPr>
          <w:trHeight w:val="57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A64670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8E666D" w:rsidRPr="00A64670" w:rsidRDefault="008E666D" w:rsidP="00572EEB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D142B7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8E666D" w:rsidRPr="005E0679" w:rsidTr="00572EEB">
        <w:trPr>
          <w:trHeight w:val="171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A64670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461148" w:rsidRDefault="008E666D" w:rsidP="00572EEB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5E0679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03595F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პირობები:</w:t>
            </w: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5E0679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03595F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8E666D" w:rsidRPr="005E0679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Tr="00572EE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  <w:hideMark/>
          </w:tcPr>
          <w:p w:rsidR="008E666D" w:rsidRPr="00190242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მასალის</w:t>
            </w: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, 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 ან/და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 w:eastAsia="ka-GE"/>
              </w:rPr>
              <w:t xml:space="preserve">ან მისი/მათი ნაწილის </w:t>
            </w:r>
            <w:r w:rsidRPr="00190242">
              <w:rPr>
                <w:rFonts w:ascii="Sylfaen" w:hAnsi="Sylfaen"/>
                <w:noProof/>
                <w:sz w:val="14"/>
                <w:szCs w:val="14"/>
                <w:u w:val="single"/>
                <w:lang w:val="ka-GE" w:eastAsia="ka-GE"/>
              </w:rPr>
              <w:t>(ეტაპის)</w:t>
            </w:r>
            <w:r w:rsidRPr="00190242">
              <w:rPr>
                <w:rFonts w:ascii="Sylfaen" w:hAnsi="Sylfaen"/>
                <w:noProof/>
                <w:color w:val="FF0000"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  <w:t>მიღება–ჩაბარება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 w:eastAsia="ka-GE"/>
              </w:rPr>
              <w:t>:</w:t>
            </w:r>
          </w:p>
        </w:tc>
        <w:tc>
          <w:tcPr>
            <w:tcW w:w="5940" w:type="dxa"/>
            <w:hideMark/>
          </w:tcPr>
          <w:p w:rsidR="008E666D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</w:p>
        </w:tc>
      </w:tr>
      <w:tr w:rsidR="008E666D" w:rsidRPr="009E4E51" w:rsidTr="00572EEB">
        <w:trPr>
          <w:trHeight w:val="103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9E4E51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:rsidR="008E666D" w:rsidRPr="009E4E51" w:rsidRDefault="008E666D" w:rsidP="00572EEB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9E4E51" w:rsidTr="00572EEB">
        <w:trPr>
          <w:trHeight w:val="152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Pr="00FA28D6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:rsidR="008E666D" w:rsidRPr="009E4E51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9E4E51" w:rsidTr="00572EEB">
        <w:trPr>
          <w:trHeight w:val="152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8E666D" w:rsidRPr="009E4E51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E666D" w:rsidRPr="009E4E51" w:rsidTr="00572EEB">
        <w:trPr>
          <w:trHeight w:val="152"/>
        </w:trPr>
        <w:tc>
          <w:tcPr>
            <w:tcW w:w="360" w:type="dxa"/>
          </w:tcPr>
          <w:p w:rsidR="008E666D" w:rsidRPr="009E4E51" w:rsidRDefault="008E666D" w:rsidP="00572EEB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:rsidR="008E666D" w:rsidRDefault="008E666D" w:rsidP="00572EEB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:rsidR="008E666D" w:rsidRPr="009E4E51" w:rsidRDefault="008E666D" w:rsidP="00572EE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</w:tbl>
    <w:p w:rsidR="008E666D" w:rsidRPr="00623956" w:rsidRDefault="008E666D" w:rsidP="008E666D">
      <w:pPr>
        <w:shd w:val="clear" w:color="auto" w:fill="FFFFFF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8E666D" w:rsidRPr="009E4E51" w:rsidTr="00572EEB">
        <w:trPr>
          <w:trHeight w:val="123"/>
        </w:trPr>
        <w:tc>
          <w:tcPr>
            <w:tcW w:w="360" w:type="dxa"/>
            <w:vAlign w:val="center"/>
          </w:tcPr>
          <w:p w:rsidR="008E666D" w:rsidRPr="009E4E51" w:rsidRDefault="008E666D" w:rsidP="008E666D">
            <w:pPr>
              <w:numPr>
                <w:ilvl w:val="0"/>
                <w:numId w:val="47"/>
              </w:num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500" w:type="dxa"/>
            <w:vAlign w:val="center"/>
          </w:tcPr>
          <w:p w:rsidR="008E666D" w:rsidRPr="009E4E51" w:rsidRDefault="008E666D" w:rsidP="00572EEB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940" w:type="dxa"/>
          </w:tcPr>
          <w:p w:rsidR="008E666D" w:rsidRPr="009E4E51" w:rsidRDefault="008E666D" w:rsidP="00572EEB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:rsidR="008E666D" w:rsidRPr="00437885" w:rsidRDefault="008E666D" w:rsidP="008E666D">
      <w:pPr>
        <w:pStyle w:val="ListParagraph"/>
        <w:numPr>
          <w:ilvl w:val="1"/>
          <w:numId w:val="47"/>
        </w:numPr>
        <w:jc w:val="both"/>
        <w:rPr>
          <w:rFonts w:ascii="Sylfaen" w:hAnsi="Sylfaen" w:cs="Sylfaen"/>
          <w:b/>
          <w:sz w:val="14"/>
          <w:szCs w:val="14"/>
        </w:rPr>
      </w:pPr>
    </w:p>
    <w:p w:rsidR="008E666D" w:rsidRPr="00437885" w:rsidRDefault="008E666D" w:rsidP="008E666D">
      <w:pPr>
        <w:pStyle w:val="ListParagraph"/>
        <w:numPr>
          <w:ilvl w:val="1"/>
          <w:numId w:val="47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43788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:rsidR="008E666D" w:rsidRPr="009E4E51" w:rsidRDefault="008E666D" w:rsidP="008E666D">
      <w:pPr>
        <w:numPr>
          <w:ilvl w:val="1"/>
          <w:numId w:val="47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E4E51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:rsidR="008E666D" w:rsidRDefault="008E666D" w:rsidP="008E666D">
      <w:pPr>
        <w:shd w:val="clear" w:color="auto" w:fill="FFFFFF"/>
        <w:ind w:left="720"/>
        <w:jc w:val="center"/>
        <w:rPr>
          <w:rFonts w:ascii="Sylfaen" w:hAnsi="Sylfaen"/>
          <w:b/>
          <w:noProof/>
          <w:sz w:val="14"/>
          <w:szCs w:val="14"/>
        </w:rPr>
      </w:pPr>
    </w:p>
    <w:p w:rsidR="008E666D" w:rsidRDefault="008E666D" w:rsidP="008E666D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</w:rPr>
      </w:pPr>
    </w:p>
    <w:p w:rsidR="008E666D" w:rsidRPr="00B505EC" w:rsidRDefault="008E666D" w:rsidP="008E666D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B505EC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:rsidR="008E666D" w:rsidRPr="005E0679" w:rsidRDefault="008E666D" w:rsidP="008E666D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:rsidR="008E666D" w:rsidRPr="005E0679" w:rsidRDefault="008E666D" w:rsidP="008E666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noProof/>
          <w:sz w:val="14"/>
          <w:szCs w:val="14"/>
          <w:lang w:val="ka-GE"/>
        </w:rPr>
      </w:pPr>
    </w:p>
    <w:p w:rsidR="008E666D" w:rsidRDefault="008E666D" w:rsidP="008E666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კლიენტი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8E666D" w:rsidRDefault="008E666D" w:rsidP="008E666D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8E666D" w:rsidRDefault="008E666D" w:rsidP="008E666D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8E666D" w:rsidRDefault="008E666D" w:rsidP="008E666D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8E666D" w:rsidRPr="00F53B27" w:rsidRDefault="008E666D" w:rsidP="008E666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lang w:val="ka-GE"/>
        </w:rPr>
      </w:pPr>
    </w:p>
    <w:p w:rsidR="008E666D" w:rsidRPr="00232FB6" w:rsidRDefault="008E666D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  <w:bookmarkStart w:id="6" w:name="_GoBack"/>
      <w:bookmarkEnd w:id="6"/>
    </w:p>
    <w:sectPr w:rsidR="008E666D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DB" w:rsidRDefault="00A95EDB">
      <w:r>
        <w:separator/>
      </w:r>
    </w:p>
  </w:endnote>
  <w:endnote w:type="continuationSeparator" w:id="0">
    <w:p w:rsidR="00A95EDB" w:rsidRDefault="00A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B8" w:rsidRPr="00C74867" w:rsidRDefault="000A5BB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E03A9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E03A9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0A5BB8" w:rsidRPr="00C74867" w:rsidRDefault="000A5BB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DB" w:rsidRDefault="00A95EDB">
      <w:r>
        <w:separator/>
      </w:r>
    </w:p>
  </w:footnote>
  <w:footnote w:type="continuationSeparator" w:id="0">
    <w:p w:rsidR="00A95EDB" w:rsidRDefault="00A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BB8" w:rsidRPr="00FE43DE" w:rsidRDefault="000A5BB8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954B9D"/>
    <w:multiLevelType w:val="multilevel"/>
    <w:tmpl w:val="A59E3BD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32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5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7"/>
  </w:num>
  <w:num w:numId="2">
    <w:abstractNumId w:val="45"/>
  </w:num>
  <w:num w:numId="3">
    <w:abstractNumId w:val="39"/>
  </w:num>
  <w:num w:numId="4">
    <w:abstractNumId w:val="42"/>
  </w:num>
  <w:num w:numId="5">
    <w:abstractNumId w:val="15"/>
  </w:num>
  <w:num w:numId="6">
    <w:abstractNumId w:val="2"/>
  </w:num>
  <w:num w:numId="7">
    <w:abstractNumId w:val="33"/>
  </w:num>
  <w:num w:numId="8">
    <w:abstractNumId w:val="29"/>
  </w:num>
  <w:num w:numId="9">
    <w:abstractNumId w:val="41"/>
  </w:num>
  <w:num w:numId="10">
    <w:abstractNumId w:val="44"/>
  </w:num>
  <w:num w:numId="11">
    <w:abstractNumId w:val="3"/>
  </w:num>
  <w:num w:numId="12">
    <w:abstractNumId w:val="23"/>
  </w:num>
  <w:num w:numId="13">
    <w:abstractNumId w:val="34"/>
  </w:num>
  <w:num w:numId="14">
    <w:abstractNumId w:val="7"/>
  </w:num>
  <w:num w:numId="15">
    <w:abstractNumId w:val="8"/>
  </w:num>
  <w:num w:numId="16">
    <w:abstractNumId w:val="35"/>
  </w:num>
  <w:num w:numId="17">
    <w:abstractNumId w:val="28"/>
  </w:num>
  <w:num w:numId="18">
    <w:abstractNumId w:val="32"/>
  </w:num>
  <w:num w:numId="19">
    <w:abstractNumId w:val="38"/>
  </w:num>
  <w:num w:numId="20">
    <w:abstractNumId w:val="26"/>
  </w:num>
  <w:num w:numId="21">
    <w:abstractNumId w:val="17"/>
  </w:num>
  <w:num w:numId="22">
    <w:abstractNumId w:val="22"/>
  </w:num>
  <w:num w:numId="23">
    <w:abstractNumId w:val="43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40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6"/>
  </w:num>
  <w:num w:numId="40">
    <w:abstractNumId w:val="11"/>
  </w:num>
  <w:num w:numId="41">
    <w:abstractNumId w:val="9"/>
  </w:num>
  <w:num w:numId="4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 w:numId="47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3A9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66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EDB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376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49E"/>
    <w:rsid w:val="00D95519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A49AF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B5EA90-A053-42F1-A64C-9C853FF9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45147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Natalia Fedoseeva</cp:lastModifiedBy>
  <cp:revision>11</cp:revision>
  <cp:lastPrinted>2012-10-30T16:38:00Z</cp:lastPrinted>
  <dcterms:created xsi:type="dcterms:W3CDTF">2017-05-20T13:42:00Z</dcterms:created>
  <dcterms:modified xsi:type="dcterms:W3CDTF">2018-08-14T19:47:00Z</dcterms:modified>
</cp:coreProperties>
</file>